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פרסום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התאמות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הנגישות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ליבלינג</w:t>
      </w:r>
    </w:p>
    <w:p w:rsidR="00000000" w:rsidDel="00000000" w:rsidP="00000000" w:rsidRDefault="00000000" w:rsidRPr="00000000" w14:paraId="0000000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אידלסון</w:t>
      </w:r>
      <w:r w:rsidDel="00000000" w:rsidR="00000000" w:rsidRPr="00000000">
        <w:rPr>
          <w:rtl w:val="1"/>
        </w:rPr>
        <w:t xml:space="preserve"> 29 </w:t>
      </w:r>
      <w:r w:rsidDel="00000000" w:rsidR="00000000" w:rsidRPr="00000000">
        <w:rPr>
          <w:rtl w:val="1"/>
        </w:rPr>
        <w:t xml:space="preserve">בתל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הגעה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למקום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חניון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בצלאל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חניון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2594"/>
          <w:sz w:val="24"/>
          <w:szCs w:val="24"/>
          <w:rtl w:val="0"/>
        </w:rPr>
        <w:t xml:space="preserve">03-7431025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054-2334026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במייל</w:t>
      </w:r>
      <w:r w:rsidDel="00000000" w:rsidR="00000000" w:rsidRPr="00000000">
        <w:rPr>
          <w:rtl w:val="1"/>
        </w:rPr>
        <w:t xml:space="preserve">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liav_levi@mail.tel-aviv.gov.il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1"/>
        </w:rPr>
        <w:t xml:space="preserve">כניסה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למבנה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והתצוגות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0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עמדת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קבלה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פלאיירים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אייפדים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אוזניות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האפליקציה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שירותי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נכים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האבזור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מיצגים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וגלריות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המיצגים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60-70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המסתייעים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איזור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למידה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ליבלינג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לסטודנטים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השולחנות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ונעימה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אירועים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מילוט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וחירום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בטלפון</w:t>
      </w:r>
      <w:r w:rsidDel="00000000" w:rsidR="00000000" w:rsidRPr="00000000">
        <w:rPr>
          <w:rtl w:val="1"/>
        </w:rPr>
        <w:t xml:space="preserve"> 054-2334026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במייל</w:t>
      </w:r>
      <w:r w:rsidDel="00000000" w:rsidR="00000000" w:rsidRPr="00000000">
        <w:rPr>
          <w:rtl w:val="1"/>
        </w:rPr>
        <w:t xml:space="preserve">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liav_levi@mail.tel-aviv.gov.il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לתאריך</w:t>
      </w:r>
      <w:r w:rsidDel="00000000" w:rsidR="00000000" w:rsidRPr="00000000">
        <w:rPr>
          <w:rtl w:val="1"/>
        </w:rPr>
        <w:t xml:space="preserve"> 1/3/22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562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08/02/2022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iav_levi@mail.tel-aviv.gov.il" TargetMode="External"/><Relationship Id="rId7" Type="http://schemas.openxmlformats.org/officeDocument/2006/relationships/hyperlink" Target="mailto:liav_levi@mail.tel-aviv.gov.i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